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9" w:rsidRPr="0090572C" w:rsidRDefault="000C2F19" w:rsidP="00516997">
      <w:pPr>
        <w:jc w:val="center"/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</w:pPr>
    </w:p>
    <w:p w:rsidR="00602C33" w:rsidRDefault="005A587D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  <w:t>COMUNICADO 0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  <w:t>1</w:t>
      </w:r>
      <w:r w:rsidR="009010D4"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  <w:t>/2023</w:t>
      </w:r>
      <w:r w:rsidR="00602C33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  <w:t xml:space="preserve"> - </w:t>
      </w:r>
      <w:r w:rsidR="003877E6" w:rsidRPr="0090572C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 xml:space="preserve">CHAMAMENTO PUBLICO </w:t>
      </w:r>
    </w:p>
    <w:p w:rsidR="00DE7A02" w:rsidRDefault="00DE7A02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</w:p>
    <w:p w:rsidR="00DE7A02" w:rsidRDefault="00DE7A02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</w:p>
    <w:p w:rsidR="00DE7A02" w:rsidRPr="0090572C" w:rsidRDefault="00DE7A02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</w:p>
    <w:p w:rsidR="00602C33" w:rsidRPr="0090572C" w:rsidRDefault="00602C33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274D9" w:rsidRPr="0090572C" w:rsidRDefault="00422E0B" w:rsidP="003877E6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ATA DA COMISSÃO ESPECIAL DE AVALIAÇÃO</w:t>
      </w:r>
    </w:p>
    <w:p w:rsidR="00E31E84" w:rsidRDefault="004E6788" w:rsidP="00E31E84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ASSUNTO: </w:t>
      </w:r>
      <w:proofErr w:type="gramStart"/>
      <w:r w:rsidR="001B744C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HABILITAÇÃO</w:t>
      </w:r>
      <w:r w:rsidR="00DE7A02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90572C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PLANO</w:t>
      </w:r>
      <w:r w:rsidR="00E31E84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DE TRABALHO </w:t>
      </w:r>
      <w:r w:rsidR="0090572C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/</w:t>
      </w:r>
      <w:proofErr w:type="gramEnd"/>
      <w:r w:rsidR="0090572C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ANALISE DOCUMENTAL </w:t>
      </w:r>
    </w:p>
    <w:p w:rsidR="00DE7A02" w:rsidRPr="0090572C" w:rsidRDefault="00DE7A02" w:rsidP="00E31E84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02C33" w:rsidRDefault="00602C33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7A02" w:rsidRPr="0090572C" w:rsidRDefault="00DE7A02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C1D5B" w:rsidRPr="0090572C" w:rsidRDefault="00CC3E41" w:rsidP="00DE7A02">
      <w:pPr>
        <w:ind w:firstLine="708"/>
        <w:jc w:val="both"/>
        <w:rPr>
          <w:rFonts w:ascii="Courier New" w:eastAsia="Calibri" w:hAnsi="Courier New" w:cs="Courier New"/>
          <w:b/>
          <w:color w:val="000000" w:themeColor="text1"/>
          <w:sz w:val="24"/>
          <w:szCs w:val="24"/>
        </w:rPr>
      </w:pPr>
      <w:r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Considerando a portaria D.A nº </w:t>
      </w:r>
      <w:r w:rsidR="003877E6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153/2021</w:t>
      </w:r>
      <w:r w:rsidR="003877E6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, que 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r w:rsidR="003877E6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ltera a portaria </w:t>
      </w:r>
      <w:proofErr w:type="spellStart"/>
      <w:r w:rsidR="003877E6" w:rsidRPr="0090572C">
        <w:rPr>
          <w:rFonts w:ascii="Courier New" w:hAnsi="Courier New" w:cs="Courier New"/>
          <w:color w:val="000000" w:themeColor="text1"/>
          <w:sz w:val="24"/>
          <w:szCs w:val="24"/>
        </w:rPr>
        <w:t>D.A.</w:t>
      </w:r>
      <w:proofErr w:type="spellEnd"/>
      <w:r w:rsidR="003877E6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095/2020 que constituiu a</w:t>
      </w:r>
      <w:r w:rsidR="003C0665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Comissão Especial de Avaliação</w:t>
      </w:r>
      <w:r w:rsidR="004E6788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destinada a selecionar projetos de organizações de assistência social,</w:t>
      </w:r>
      <w:r w:rsidR="004F7CF0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E6788" w:rsidRPr="0090572C">
        <w:rPr>
          <w:rFonts w:ascii="Courier New" w:hAnsi="Courier New" w:cs="Courier New"/>
          <w:color w:val="000000" w:themeColor="text1"/>
          <w:sz w:val="24"/>
          <w:szCs w:val="24"/>
        </w:rPr>
        <w:t>por meio de chamamento publico, para efetivação das Políticas Publicas Municipais de Assistência Social, mediante convenio,</w:t>
      </w:r>
      <w:r w:rsidR="00E53C31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E6788" w:rsidRPr="0090572C">
        <w:rPr>
          <w:rFonts w:ascii="Courier New" w:hAnsi="Courier New" w:cs="Courier New"/>
          <w:color w:val="000000" w:themeColor="text1"/>
          <w:sz w:val="24"/>
          <w:szCs w:val="24"/>
        </w:rPr>
        <w:t>em consonância com as diretrizes do Sistema Único de Assistência Social – Suas e com o disposto na Lei Orgânica da Assistência Social – LOAS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;</w:t>
      </w:r>
      <w:r w:rsidR="00424E47" w:rsidRPr="0090572C">
        <w:rPr>
          <w:rFonts w:ascii="Courier New" w:eastAsia="Calibri" w:hAnsi="Courier New" w:cs="Courier New"/>
          <w:b/>
          <w:color w:val="000000" w:themeColor="text1"/>
          <w:sz w:val="24"/>
          <w:szCs w:val="24"/>
        </w:rPr>
        <w:t xml:space="preserve"> </w:t>
      </w:r>
    </w:p>
    <w:p w:rsidR="0043243F" w:rsidRPr="0090572C" w:rsidRDefault="0043243F" w:rsidP="004C1D5B">
      <w:pPr>
        <w:jc w:val="both"/>
        <w:rPr>
          <w:rFonts w:ascii="Courier New" w:eastAsia="Calibri" w:hAnsi="Courier New" w:cs="Courier New"/>
          <w:b/>
          <w:color w:val="000000" w:themeColor="text1"/>
          <w:sz w:val="24"/>
          <w:szCs w:val="24"/>
        </w:rPr>
      </w:pPr>
    </w:p>
    <w:p w:rsidR="004C1D5B" w:rsidRPr="00703E9F" w:rsidRDefault="0090572C" w:rsidP="00DE7A02">
      <w:pPr>
        <w:ind w:firstLine="708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90572C">
        <w:rPr>
          <w:rFonts w:ascii="Courier New" w:eastAsia="Calibri" w:hAnsi="Courier New" w:cs="Courier New"/>
          <w:b/>
          <w:color w:val="000000" w:themeColor="text1"/>
          <w:sz w:val="24"/>
          <w:szCs w:val="24"/>
        </w:rPr>
        <w:t xml:space="preserve">Considerando </w:t>
      </w:r>
      <w:r w:rsidRP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>o edital de chamamento público 02/2022 processo nº19866/2022</w:t>
      </w:r>
      <w:r w:rsid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  <w:r w:rsidRP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>-</w:t>
      </w:r>
      <w:r w:rsid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  <w:r w:rsidRP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proteção especial de media complexidade - </w:t>
      </w:r>
      <w:r w:rsidRPr="00703E9F">
        <w:rPr>
          <w:rFonts w:ascii="Courier New" w:hAnsi="Courier New" w:cs="Courier New"/>
          <w:bCs/>
          <w:color w:val="000000" w:themeColor="text1"/>
          <w:sz w:val="24"/>
          <w:szCs w:val="24"/>
        </w:rPr>
        <w:t>serviço de proteção social especial para pessoas com deficiência e suas famílias.</w:t>
      </w:r>
      <w:r w:rsidRP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</w:p>
    <w:p w:rsidR="004C1D5B" w:rsidRPr="00703E9F" w:rsidRDefault="004C1D5B" w:rsidP="004618C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</w:p>
    <w:p w:rsidR="004C1D5B" w:rsidRPr="0090572C" w:rsidRDefault="0043243F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 </w:t>
      </w:r>
      <w:r w:rsid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CRONOGRAMA</w:t>
      </w:r>
      <w:r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10.1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Apresentação da proposta – Envelope </w:t>
      </w:r>
      <w:proofErr w:type="gram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proofErr w:type="gram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e Apresentação de documentos para celebração da Parceria – Envelope 2 -  documentos para celebração conforme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ITEM 11.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I. Local: Secretaria de Assistência e Desenvolvimento Social – </w:t>
      </w:r>
      <w:proofErr w:type="gram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Travessa Sebastião</w:t>
      </w:r>
      <w:proofErr w:type="gram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das Dores nº29 - </w:t>
      </w:r>
      <w:proofErr w:type="spell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Prainha</w:t>
      </w:r>
      <w:proofErr w:type="spell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proofErr w:type="spell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Itanhaém</w:t>
      </w:r>
      <w:proofErr w:type="spell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/SP. II. Horário: das 08h 30m às 10h. III. Dia: 06/01/2023; </w:t>
      </w:r>
      <w:bookmarkStart w:id="0" w:name="_Hlk116837966"/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10.2 </w:t>
      </w:r>
      <w:bookmarkEnd w:id="0"/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Análise da Comissão de avaliação e habilitação: até 10/01/2022.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10.3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Apresentações de esclarecimentos, quando solicitado pela Comissão: Deverá ocorrer em até 24 horas após a solicitação; </w:t>
      </w:r>
      <w:proofErr w:type="gramStart"/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10.4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Publicação</w:t>
      </w:r>
      <w:proofErr w:type="gram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do resultado no site da prefeitura: 11/01/2023;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10.5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Prazos para recurso das Organizações da Sociedade Civil: até 13/01/2023 das 8 às 12:00</w:t>
      </w:r>
      <w:proofErr w:type="spell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hs</w:t>
      </w:r>
      <w:proofErr w:type="spell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na sede da SADS – Secretaria de Assistência e Desenvolvimento Social – Travessa Sebastião das Dores ,29 – </w:t>
      </w:r>
      <w:proofErr w:type="spell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Prainha</w:t>
      </w:r>
      <w:proofErr w:type="spell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Itanhaém</w:t>
      </w:r>
      <w:proofErr w:type="spellEnd"/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;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10.6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Análises dos recursos pela Comissão de Seleção: até 16/01/2023;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10.7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>Publicações da classificação final publicação no Boletim Oficial;</w:t>
      </w:r>
      <w:r w:rsidR="00703E9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10.8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As publicações acima referidas serão realizadas no Site Oficial www.itanhaem.sp.gov.br, após o termino do processo será publicada no site e no Boletim Oficial; </w:t>
      </w:r>
      <w:r w:rsidR="004C1D5B" w:rsidRPr="0090572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10.9 </w:t>
      </w:r>
      <w:r w:rsidR="004C1D5B"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do Termo de Colaboração: CONFORME CONVOCAÇÃO DA SADS.  </w:t>
      </w:r>
    </w:p>
    <w:p w:rsidR="00424E47" w:rsidRPr="0090572C" w:rsidRDefault="00424E47" w:rsidP="001812E7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7A02" w:rsidRDefault="00703E9F" w:rsidP="0099133B">
      <w:pPr>
        <w:ind w:firstLine="708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  <w:r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Considerando a portaria D.A nº 153/2021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, a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CEA - 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Comissão Especial de Avaliação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602C33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reuniu-se na 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Secretaria de Assistência e Desenvolvimento Social – Travessa Sebastião das Dores nº29 - </w:t>
      </w:r>
      <w:proofErr w:type="spellStart"/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Prainha</w:t>
      </w:r>
      <w:proofErr w:type="spellEnd"/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– </w:t>
      </w:r>
      <w:proofErr w:type="spellStart"/>
      <w:r w:rsidRPr="0090572C">
        <w:rPr>
          <w:rFonts w:ascii="Courier New" w:hAnsi="Courier New" w:cs="Courier New"/>
          <w:color w:val="000000" w:themeColor="text1"/>
          <w:sz w:val="24"/>
          <w:szCs w:val="24"/>
        </w:rPr>
        <w:t>Itanhaém</w:t>
      </w:r>
      <w:proofErr w:type="spellEnd"/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na data de</w:t>
      </w:r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10/01/2023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, para analise de propostas protocoladas por organizações da sociedade civil em resposta ao edital acima citado, para execução indireta do “</w:t>
      </w:r>
      <w:r w:rsidRPr="00703E9F">
        <w:rPr>
          <w:rFonts w:ascii="Courier New" w:hAnsi="Courier New" w:cs="Courier New"/>
          <w:bCs/>
          <w:color w:val="000000" w:themeColor="text1"/>
          <w:sz w:val="24"/>
          <w:szCs w:val="24"/>
        </w:rPr>
        <w:t>serviço de proteção social especial para pessoas com deficiência e suas famílias</w:t>
      </w:r>
      <w:r w:rsidR="00DE7A02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”. </w:t>
      </w:r>
    </w:p>
    <w:p w:rsidR="00DE7A02" w:rsidRDefault="00DE7A02" w:rsidP="0099133B">
      <w:pPr>
        <w:ind w:firstLine="708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</w:p>
    <w:p w:rsidR="0099133B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Cs/>
          <w:color w:val="000000" w:themeColor="text1"/>
          <w:sz w:val="24"/>
          <w:szCs w:val="24"/>
        </w:rPr>
        <w:t>T</w:t>
      </w:r>
      <w:r w:rsidR="0099133B">
        <w:rPr>
          <w:rFonts w:ascii="Courier New" w:hAnsi="Courier New" w:cs="Courier New"/>
          <w:bCs/>
          <w:color w:val="000000" w:themeColor="text1"/>
          <w:sz w:val="24"/>
          <w:szCs w:val="24"/>
        </w:rPr>
        <w:t>end</w:t>
      </w:r>
      <w:r w:rsidR="00703E9F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o </w:t>
      </w:r>
      <w:r w:rsidR="00703E9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uma única </w:t>
      </w:r>
      <w:r w:rsidR="00602C33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>OSC – Organiza</w:t>
      </w:r>
      <w:r w:rsidR="00703E9F">
        <w:rPr>
          <w:rFonts w:ascii="Courier New" w:hAnsi="Courier New" w:cs="Courier New"/>
          <w:b/>
          <w:color w:val="000000" w:themeColor="text1"/>
          <w:sz w:val="24"/>
          <w:szCs w:val="24"/>
        </w:rPr>
        <w:t>ção da Sociedade Civil, entregue</w:t>
      </w:r>
      <w:r w:rsidR="00602C33" w:rsidRPr="0090572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703E9F">
        <w:rPr>
          <w:rFonts w:ascii="Courier New" w:hAnsi="Courier New" w:cs="Courier New"/>
          <w:b/>
          <w:color w:val="000000" w:themeColor="text1"/>
          <w:sz w:val="24"/>
          <w:szCs w:val="24"/>
        </w:rPr>
        <w:t>“Plano de Trabalho e Documentos” para o proc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esso de seleção, a</w:t>
      </w:r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CEA avaliou o plano de trabalho e documentos entregue pela OSC – Organização da Sociedade Civil APAE – Associação de Pais e </w:t>
      </w:r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Amigos do Excepcional de </w:t>
      </w:r>
      <w:proofErr w:type="spellStart"/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>Itanhaé</w:t>
      </w:r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>m</w:t>
      </w:r>
      <w:proofErr w:type="spellEnd"/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CNPJ </w:t>
      </w:r>
      <w:proofErr w:type="gramStart"/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>nº</w:t>
      </w:r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>10.</w:t>
      </w:r>
      <w:proofErr w:type="gramEnd"/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>396.726/0001-49, conferindo</w:t>
      </w:r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o Total de Pontuação = </w:t>
      </w:r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52,0. Estando o plano de trabalho </w:t>
      </w:r>
      <w:proofErr w:type="spellStart"/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>habilitad</w:t>
      </w:r>
      <w:proofErr w:type="spellEnd"/>
      <w:r w:rsidR="00C33758">
        <w:rPr>
          <w:rFonts w:ascii="Courier New" w:hAnsi="Courier New" w:cs="Courier New"/>
          <w:b/>
          <w:color w:val="000000" w:themeColor="text1"/>
          <w:sz w:val="24"/>
          <w:szCs w:val="24"/>
        </w:rPr>
        <w:t>. R</w:t>
      </w:r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>essalta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mos </w:t>
      </w:r>
      <w:r w:rsidR="0099133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que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segundo </w:t>
      </w:r>
      <w:r w:rsidR="0099133B" w:rsidRPr="00703E9F">
        <w:rPr>
          <w:rFonts w:ascii="Courier New" w:eastAsia="Calibri" w:hAnsi="Courier New" w:cs="Courier New"/>
          <w:color w:val="000000" w:themeColor="text1"/>
          <w:sz w:val="24"/>
          <w:szCs w:val="24"/>
        </w:rPr>
        <w:t>o edital de chamamento público 02/2022 processo nº19866/2022</w:t>
      </w:r>
      <w:r w:rsidR="0099133B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: Item </w:t>
      </w:r>
      <w:r w:rsidR="0099133B" w:rsidRPr="00703E9F">
        <w:rPr>
          <w:rFonts w:ascii="Courier New" w:hAnsi="Courier New" w:cs="Courier New"/>
          <w:color w:val="000000" w:themeColor="text1"/>
          <w:sz w:val="24"/>
          <w:szCs w:val="24"/>
        </w:rPr>
        <w:t xml:space="preserve">8.1 </w:t>
      </w:r>
      <w:r w:rsidR="0099133B" w:rsidRPr="0099133B">
        <w:rPr>
          <w:rFonts w:ascii="Courier New" w:hAnsi="Courier New" w:cs="Courier New"/>
          <w:b/>
          <w:color w:val="000000" w:themeColor="text1"/>
          <w:sz w:val="24"/>
          <w:szCs w:val="24"/>
        </w:rPr>
        <w:t>A SELEÇÃO DO PROJETO NÃO GERA, EM NENHUMA HIPÓTESE, OBRIGAÇÃO DA ADMINISTRAÇÃO PÚBLICA EM ASSINATURA DE TERMO DE COLABORAÇÃO COM A OSC – ORGANIZAÇÃO DA SOCIEDADE CIVIL, APENAS A QUALIFICA PARA EVENTUAL ASSINATURA DE TERMO DE COLABORAÇÃO.</w:t>
      </w:r>
      <w:r w:rsidR="0099133B" w:rsidRPr="00703E9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E7A02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133B" w:rsidRDefault="0099133B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Ainda declara que após a seleção de projetos,</w:t>
      </w:r>
      <w:r w:rsidRPr="00703E9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compete ao CMAS- Conselho Municipal de Assistência Social de </w:t>
      </w:r>
      <w:proofErr w:type="spellStart"/>
      <w:r w:rsidR="00DE7A02">
        <w:rPr>
          <w:rFonts w:ascii="Courier New" w:hAnsi="Courier New" w:cs="Courier New"/>
          <w:color w:val="000000" w:themeColor="text1"/>
          <w:sz w:val="24"/>
          <w:szCs w:val="24"/>
        </w:rPr>
        <w:t>Itanhaem</w:t>
      </w:r>
      <w:proofErr w:type="spellEnd"/>
      <w:r w:rsidR="00DE7A02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por deliberação de seu colegia</w:t>
      </w:r>
      <w:r w:rsid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do o aprove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final </w:t>
      </w:r>
      <w:r w:rsidR="00DE7A02">
        <w:rPr>
          <w:rFonts w:ascii="Courier New" w:hAnsi="Courier New" w:cs="Courier New"/>
          <w:color w:val="000000" w:themeColor="text1"/>
          <w:sz w:val="24"/>
          <w:szCs w:val="24"/>
        </w:rPr>
        <w:t>para assinatura de termo de colaboração.</w:t>
      </w:r>
      <w:r w:rsidR="009966E1"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r w:rsid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E7A02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7A02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Segue abaixo a pontuação por elementos de avaliação.</w:t>
      </w:r>
    </w:p>
    <w:p w:rsidR="00DE7A02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133B" w:rsidRDefault="0099133B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03E9F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8.1.1 SERÃO HABILITADOS OS PLANOS DE TRABALHO: </w:t>
      </w:r>
      <w:r w:rsidRPr="00703E9F">
        <w:rPr>
          <w:rFonts w:ascii="Courier New" w:hAnsi="Courier New" w:cs="Courier New"/>
          <w:color w:val="000000" w:themeColor="text1"/>
          <w:sz w:val="24"/>
          <w:szCs w:val="24"/>
        </w:rPr>
        <w:t xml:space="preserve">Elementos para avaliação </w:t>
      </w:r>
    </w:p>
    <w:p w:rsidR="00DE7A02" w:rsidRDefault="00DE7A02" w:rsidP="00DE7A0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18C6" w:rsidRPr="0090572C" w:rsidRDefault="004618C6" w:rsidP="001812E7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404"/>
        <w:gridCol w:w="1513"/>
      </w:tblGrid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ITEM  </w:t>
            </w:r>
          </w:p>
        </w:tc>
        <w:tc>
          <w:tcPr>
            <w:tcW w:w="1052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PONTUAÇÃO 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Adequação da proposta aos objetivos específicos em que se insere a parceria.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3,5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Clareza e objetividade da proposta para execução do serviço.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3,5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Inovação e coerência da proposta para execução do serviço.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2,5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Clareza, objetividade e coerência na proposta de gestão de informação (relatórios ref. a execução do serviço, registros de atendimentos, etc.)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2,5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Detalhamento, objetividade e coerência com valores de mercado do Plano de Aplicação de Recursos no que se refere aos Recursos Humanos do Serviço.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10,0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4618C6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Apresentação de Diagnóstico territorial </w:t>
            </w:r>
            <w:proofErr w:type="spellStart"/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qualiquantitativo</w:t>
            </w:r>
            <w:proofErr w:type="spellEnd"/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que demonstre a relevância do projeto no atendimento ao publico alvo do objeto do edital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5,0</w:t>
            </w:r>
          </w:p>
        </w:tc>
      </w:tr>
      <w:tr w:rsidR="004618C6" w:rsidRPr="00DE7A02" w:rsidTr="004618C6">
        <w:tc>
          <w:tcPr>
            <w:tcW w:w="8789" w:type="dxa"/>
          </w:tcPr>
          <w:p w:rsidR="004618C6" w:rsidRPr="00DE7A02" w:rsidRDefault="00A630C9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A OSC já firmou convênio ou parcerias com a Prefeitura de </w:t>
            </w:r>
            <w:proofErr w:type="spellStart"/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Itanhaem</w:t>
            </w:r>
            <w:proofErr w:type="spellEnd"/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ou outros órgãos públicos para execução de serviços</w:t>
            </w:r>
            <w:r w:rsid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2" w:type="dxa"/>
          </w:tcPr>
          <w:p w:rsidR="004618C6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192316">
              <w:rPr>
                <w:rFonts w:ascii="Courier New" w:hAnsi="Courier New" w:cs="Courier New"/>
                <w:color w:val="000000"/>
                <w:sz w:val="20"/>
              </w:rPr>
              <w:t>10,0</w:t>
            </w:r>
          </w:p>
        </w:tc>
      </w:tr>
      <w:tr w:rsidR="00A630C9" w:rsidRPr="00DE7A02" w:rsidTr="004618C6">
        <w:tc>
          <w:tcPr>
            <w:tcW w:w="8789" w:type="dxa"/>
          </w:tcPr>
          <w:p w:rsidR="00A630C9" w:rsidRPr="00DE7A02" w:rsidRDefault="00A630C9" w:rsidP="00181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A organização da sociedade civil apresenta outros </w:t>
            </w: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profissionais além da equipe de referência considerando NOBRH-SUAS compatíveis a execução do serviço</w:t>
            </w:r>
          </w:p>
        </w:tc>
        <w:tc>
          <w:tcPr>
            <w:tcW w:w="1052" w:type="dxa"/>
          </w:tcPr>
          <w:p w:rsidR="00A630C9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  <w:proofErr w:type="gramEnd"/>
          </w:p>
        </w:tc>
      </w:tr>
      <w:tr w:rsidR="00A630C9" w:rsidRPr="00DE7A02" w:rsidTr="004618C6">
        <w:tc>
          <w:tcPr>
            <w:tcW w:w="8789" w:type="dxa"/>
          </w:tcPr>
          <w:p w:rsidR="00A630C9" w:rsidRPr="00DE7A02" w:rsidRDefault="00A630C9" w:rsidP="00181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A OSC possui plena adequação para a gestão da parceria, instalações, para acolher o serviço em questão, meios de comunicação, transporte entre outros</w:t>
            </w:r>
          </w:p>
        </w:tc>
        <w:tc>
          <w:tcPr>
            <w:tcW w:w="1052" w:type="dxa"/>
          </w:tcPr>
          <w:p w:rsidR="00A630C9" w:rsidRPr="00DE7A02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0C2495" w:rsidRPr="00DE7A02" w:rsidTr="004618C6">
        <w:tc>
          <w:tcPr>
            <w:tcW w:w="8789" w:type="dxa"/>
          </w:tcPr>
          <w:p w:rsidR="000C2495" w:rsidRPr="000C2495" w:rsidRDefault="000C2495" w:rsidP="00181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C2495">
              <w:rPr>
                <w:rFonts w:ascii="Courier New" w:hAnsi="Courier New" w:cs="Courier New"/>
                <w:color w:val="000000"/>
                <w:sz w:val="24"/>
                <w:szCs w:val="24"/>
              </w:rPr>
              <w:t>Apresenta compartilhamento com outros programas e serviços.</w:t>
            </w:r>
          </w:p>
        </w:tc>
        <w:tc>
          <w:tcPr>
            <w:tcW w:w="1052" w:type="dxa"/>
          </w:tcPr>
          <w:p w:rsidR="000C2495" w:rsidRDefault="000C2495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A630C9" w:rsidRPr="00DE7A02" w:rsidTr="004618C6">
        <w:tc>
          <w:tcPr>
            <w:tcW w:w="8789" w:type="dxa"/>
          </w:tcPr>
          <w:p w:rsidR="00A630C9" w:rsidRPr="00DE7A02" w:rsidRDefault="00A630C9" w:rsidP="00181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</w:tcPr>
          <w:p w:rsidR="00A630C9" w:rsidRPr="00DE7A02" w:rsidRDefault="00A630C9" w:rsidP="001812E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DE7A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Total = </w:t>
            </w:r>
            <w:r w:rsidR="00495023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52,0</w:t>
            </w:r>
          </w:p>
        </w:tc>
      </w:tr>
    </w:tbl>
    <w:p w:rsidR="004C1D5B" w:rsidRPr="00DE7A02" w:rsidRDefault="004C1D5B" w:rsidP="001812E7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618C6" w:rsidRPr="00DE7A02" w:rsidRDefault="004618C6" w:rsidP="001812E7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02C33" w:rsidRPr="00DE7A02" w:rsidRDefault="00602C33" w:rsidP="00602C33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02C33" w:rsidRPr="00DE7A02" w:rsidRDefault="00602C33" w:rsidP="00602C33">
      <w:pPr>
        <w:rPr>
          <w:rFonts w:ascii="Courier New" w:hAnsi="Courier New" w:cs="Courier New"/>
          <w:color w:val="000000" w:themeColor="text1"/>
          <w:sz w:val="24"/>
          <w:szCs w:val="24"/>
        </w:rPr>
      </w:pPr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Silvana Rodrigues Costa </w:t>
      </w:r>
    </w:p>
    <w:p w:rsidR="00602C33" w:rsidRPr="00DE7A02" w:rsidRDefault="00602C33" w:rsidP="00602C33">
      <w:pPr>
        <w:rPr>
          <w:rFonts w:ascii="Courier New" w:hAnsi="Courier New" w:cs="Courier New"/>
          <w:color w:val="000000" w:themeColor="text1"/>
          <w:sz w:val="24"/>
          <w:szCs w:val="24"/>
        </w:rPr>
      </w:pPr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>Presidente da CEA</w:t>
      </w:r>
    </w:p>
    <w:p w:rsidR="00602C33" w:rsidRDefault="00602C33" w:rsidP="00602C33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7A02" w:rsidRPr="00DE7A02" w:rsidRDefault="00DE7A02" w:rsidP="00602C33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02C33" w:rsidRPr="00DE7A02" w:rsidRDefault="00602C33" w:rsidP="00602C33">
      <w:pPr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</w:rPr>
      </w:pPr>
      <w:r w:rsidRPr="00DE7A02"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</w:rPr>
        <w:t xml:space="preserve">Hugo Di </w:t>
      </w:r>
      <w:proofErr w:type="spellStart"/>
      <w:r w:rsidRPr="00DE7A02"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</w:rPr>
        <w:t>Lallo</w:t>
      </w:r>
      <w:proofErr w:type="spellEnd"/>
      <w:r w:rsidRPr="00DE7A02">
        <w:rPr>
          <w:rFonts w:ascii="Courier New" w:hAnsi="Courier New" w:cs="Courier New"/>
          <w:bCs/>
          <w:color w:val="000000" w:themeColor="text1"/>
          <w:sz w:val="24"/>
          <w:szCs w:val="24"/>
          <w:shd w:val="clear" w:color="auto" w:fill="FFFFFF"/>
        </w:rPr>
        <w:br/>
      </w:r>
      <w:r w:rsidRPr="00DE7A0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Secretário De Assistência E Desenvolvimento Social</w:t>
      </w:r>
    </w:p>
    <w:p w:rsidR="00602C33" w:rsidRDefault="00602C33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Prefeitura Municipal de </w:t>
      </w:r>
      <w:proofErr w:type="spellStart"/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>Itanhaém</w:t>
      </w:r>
      <w:proofErr w:type="spellEnd"/>
    </w:p>
    <w:p w:rsidR="000C655C" w:rsidRDefault="000C655C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C655C" w:rsidRDefault="000C655C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C655C" w:rsidRPr="00DE7A02" w:rsidRDefault="000C655C" w:rsidP="00602C3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02C33" w:rsidRPr="00DE7A02" w:rsidRDefault="00602C33" w:rsidP="00602C33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3268C" w:rsidRPr="0090572C" w:rsidRDefault="00602C33" w:rsidP="004F7CF0">
      <w:pPr>
        <w:rPr>
          <w:rFonts w:ascii="Courier New" w:hAnsi="Courier New" w:cs="Courier New"/>
          <w:color w:val="000000" w:themeColor="text1"/>
          <w:sz w:val="24"/>
          <w:szCs w:val="24"/>
        </w:rPr>
        <w:sectPr w:rsidR="00D3268C" w:rsidRPr="0090572C" w:rsidSect="00D664AB">
          <w:headerReference w:type="default" r:id="rId8"/>
          <w:footerReference w:type="default" r:id="rId9"/>
          <w:pgSz w:w="11907" w:h="16840" w:code="9"/>
          <w:pgMar w:top="1418" w:right="680" w:bottom="284" w:left="1418" w:header="720" w:footer="720" w:gutter="0"/>
          <w:cols w:space="720"/>
        </w:sectPr>
      </w:pPr>
      <w:proofErr w:type="spellStart"/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>Itanhaem</w:t>
      </w:r>
      <w:proofErr w:type="spellEnd"/>
      <w:r w:rsidRPr="00DE7A02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proofErr w:type="gramStart"/>
      <w:r w:rsidR="004C1D5B" w:rsidRP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   </w:t>
      </w:r>
      <w:proofErr w:type="gramEnd"/>
      <w:r w:rsidR="004C1D5B" w:rsidRPr="00DE7A02">
        <w:rPr>
          <w:rFonts w:ascii="Courier New" w:hAnsi="Courier New" w:cs="Courier New"/>
          <w:color w:val="000000" w:themeColor="text1"/>
          <w:sz w:val="24"/>
          <w:szCs w:val="24"/>
        </w:rPr>
        <w:t>janeiro de 202</w:t>
      </w:r>
      <w:r w:rsidR="00A630C9" w:rsidRPr="00DE7A02">
        <w:rPr>
          <w:rFonts w:ascii="Courier New" w:hAnsi="Courier New" w:cs="Courier New"/>
          <w:color w:val="000000" w:themeColor="text1"/>
          <w:sz w:val="24"/>
          <w:szCs w:val="24"/>
        </w:rPr>
        <w:t xml:space="preserve">3. </w:t>
      </w:r>
    </w:p>
    <w:p w:rsidR="00863A9F" w:rsidRPr="0090572C" w:rsidRDefault="00863A9F" w:rsidP="00A630C9">
      <w:pPr>
        <w:spacing w:line="36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863A9F" w:rsidRPr="0090572C" w:rsidSect="00E53C31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58" w:rsidRDefault="00C33758">
      <w:r>
        <w:separator/>
      </w:r>
    </w:p>
  </w:endnote>
  <w:endnote w:type="continuationSeparator" w:id="1">
    <w:p w:rsidR="00C33758" w:rsidRDefault="00C3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58" w:rsidRDefault="00C33758">
    <w:pPr>
      <w:pStyle w:val="Rodap"/>
    </w:pPr>
    <w:r w:rsidRPr="000D6E97">
      <w:rPr>
        <w:sz w:val="16"/>
        <w:szCs w:val="16"/>
      </w:rPr>
      <w:sym w:font="Wingdings 3" w:char="F0E2"/>
    </w:r>
    <w:r>
      <w:rPr>
        <w:sz w:val="26"/>
      </w:rPr>
      <w:tab/>
    </w:r>
  </w:p>
  <w:p w:rsidR="00C33758" w:rsidRPr="00E46BBD" w:rsidRDefault="00C33758">
    <w:pPr>
      <w:pStyle w:val="Rodap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58" w:rsidRDefault="00C33758">
      <w:r>
        <w:separator/>
      </w:r>
    </w:p>
  </w:footnote>
  <w:footnote w:type="continuationSeparator" w:id="1">
    <w:p w:rsidR="00C33758" w:rsidRDefault="00C3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8" w:type="dxa"/>
      <w:tblInd w:w="-805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9380"/>
    </w:tblGrid>
    <w:tr w:rsidR="00C33758">
      <w:trPr>
        <w:trHeight w:val="1283"/>
      </w:trPr>
      <w:tc>
        <w:tcPr>
          <w:tcW w:w="1418" w:type="dxa"/>
        </w:tcPr>
        <w:p w:rsidR="00C33758" w:rsidRDefault="00C33758" w:rsidP="009D117A">
          <w:pPr>
            <w:pStyle w:val="Cabealho"/>
          </w:pPr>
        </w:p>
        <w:p w:rsidR="00C33758" w:rsidRPr="00C35DCB" w:rsidRDefault="00C33758">
          <w:pPr>
            <w:pStyle w:val="Cabealho"/>
            <w:jc w:val="center"/>
            <w:rPr>
              <w:sz w:val="12"/>
              <w:szCs w:val="12"/>
            </w:rPr>
          </w:pPr>
          <w: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62.05pt" o:ole="" fillcolor="window">
                <v:imagedata r:id="rId1" o:title=""/>
              </v:shape>
              <o:OLEObject Type="Embed" ProgID="PBrush" ShapeID="_x0000_i1025" DrawAspect="Content" ObjectID="_1735382477" r:id="rId2"/>
            </w:object>
          </w:r>
        </w:p>
      </w:tc>
      <w:tc>
        <w:tcPr>
          <w:tcW w:w="9380" w:type="dxa"/>
        </w:tcPr>
        <w:p w:rsidR="00C33758" w:rsidRDefault="00C33758">
          <w:pPr>
            <w:pStyle w:val="Cabealho"/>
            <w:ind w:left="-567" w:right="-255"/>
            <w:jc w:val="center"/>
            <w:rPr>
              <w:sz w:val="24"/>
            </w:rPr>
          </w:pPr>
        </w:p>
        <w:p w:rsidR="00C33758" w:rsidRDefault="00C33758">
          <w:pPr>
            <w:pStyle w:val="Cabealho"/>
            <w:ind w:left="-212" w:right="-255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P r e f e i t u r a</w:t>
          </w:r>
          <w:proofErr w:type="gramStart"/>
          <w:r>
            <w:rPr>
              <w:b/>
              <w:bCs/>
              <w:sz w:val="40"/>
            </w:rPr>
            <w:t xml:space="preserve">  </w:t>
          </w:r>
          <w:proofErr w:type="gramEnd"/>
          <w:r>
            <w:rPr>
              <w:b/>
              <w:bCs/>
              <w:sz w:val="40"/>
            </w:rPr>
            <w:t>M u n i c  i p a l   d e   I t a n h a é m</w:t>
          </w:r>
        </w:p>
        <w:p w:rsidR="00C33758" w:rsidRDefault="00C33758" w:rsidP="009D117A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C33758" w:rsidRDefault="00C33758" w:rsidP="009D117A">
          <w:pPr>
            <w:pStyle w:val="Cabealho"/>
            <w:ind w:left="-212"/>
            <w:jc w:val="center"/>
          </w:pPr>
          <w:r>
            <w:rPr>
              <w:sz w:val="24"/>
            </w:rPr>
            <w:t>Estado de São Paulo</w:t>
          </w:r>
        </w:p>
      </w:tc>
    </w:tr>
  </w:tbl>
  <w:p w:rsidR="00C33758" w:rsidRDefault="00C33758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61"/>
    <w:multiLevelType w:val="multilevel"/>
    <w:tmpl w:val="DB0E22A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B113818"/>
    <w:multiLevelType w:val="hybridMultilevel"/>
    <w:tmpl w:val="4F666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2297"/>
    <w:multiLevelType w:val="hybridMultilevel"/>
    <w:tmpl w:val="3B049052"/>
    <w:lvl w:ilvl="0" w:tplc="EAC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141E4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E7"/>
    <w:multiLevelType w:val="hybridMultilevel"/>
    <w:tmpl w:val="2528C986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353"/>
    <w:multiLevelType w:val="multilevel"/>
    <w:tmpl w:val="58AC49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3110C"/>
    <w:multiLevelType w:val="hybridMultilevel"/>
    <w:tmpl w:val="9A4CC0A2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519B1"/>
    <w:multiLevelType w:val="multilevel"/>
    <w:tmpl w:val="C23CEE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7">
    <w:nsid w:val="22106EF3"/>
    <w:multiLevelType w:val="multilevel"/>
    <w:tmpl w:val="408492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B37AB8"/>
    <w:multiLevelType w:val="hybridMultilevel"/>
    <w:tmpl w:val="4D02B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3A66"/>
    <w:multiLevelType w:val="hybridMultilevel"/>
    <w:tmpl w:val="3B7A3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3FE"/>
    <w:multiLevelType w:val="hybridMultilevel"/>
    <w:tmpl w:val="2D0C8A3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57C55ED"/>
    <w:multiLevelType w:val="hybridMultilevel"/>
    <w:tmpl w:val="F7C8672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065C1"/>
    <w:multiLevelType w:val="hybridMultilevel"/>
    <w:tmpl w:val="B5589A06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327DCF"/>
    <w:multiLevelType w:val="hybridMultilevel"/>
    <w:tmpl w:val="65FE5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65626"/>
    <w:multiLevelType w:val="hybridMultilevel"/>
    <w:tmpl w:val="5328C0E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FB5088"/>
    <w:rsid w:val="000314DE"/>
    <w:rsid w:val="00037484"/>
    <w:rsid w:val="00051EE7"/>
    <w:rsid w:val="00057319"/>
    <w:rsid w:val="00061742"/>
    <w:rsid w:val="00064D2E"/>
    <w:rsid w:val="00066D24"/>
    <w:rsid w:val="00067615"/>
    <w:rsid w:val="0008179D"/>
    <w:rsid w:val="000867F9"/>
    <w:rsid w:val="00094939"/>
    <w:rsid w:val="000969AC"/>
    <w:rsid w:val="000A081F"/>
    <w:rsid w:val="000A7461"/>
    <w:rsid w:val="000B2D95"/>
    <w:rsid w:val="000C2495"/>
    <w:rsid w:val="000C2F19"/>
    <w:rsid w:val="000C655C"/>
    <w:rsid w:val="000C7413"/>
    <w:rsid w:val="000D32B7"/>
    <w:rsid w:val="000D45CE"/>
    <w:rsid w:val="000D6E97"/>
    <w:rsid w:val="000E4828"/>
    <w:rsid w:val="000E4F20"/>
    <w:rsid w:val="000F4B5C"/>
    <w:rsid w:val="000F7199"/>
    <w:rsid w:val="001125EF"/>
    <w:rsid w:val="00113D24"/>
    <w:rsid w:val="00116D02"/>
    <w:rsid w:val="00117906"/>
    <w:rsid w:val="00142887"/>
    <w:rsid w:val="0014500D"/>
    <w:rsid w:val="001539F3"/>
    <w:rsid w:val="00164EE8"/>
    <w:rsid w:val="00164F98"/>
    <w:rsid w:val="001812E7"/>
    <w:rsid w:val="0018540F"/>
    <w:rsid w:val="001925BB"/>
    <w:rsid w:val="00193413"/>
    <w:rsid w:val="001A05AD"/>
    <w:rsid w:val="001A313A"/>
    <w:rsid w:val="001B0835"/>
    <w:rsid w:val="001B4491"/>
    <w:rsid w:val="001B4E27"/>
    <w:rsid w:val="001B744C"/>
    <w:rsid w:val="001B7A85"/>
    <w:rsid w:val="001C470D"/>
    <w:rsid w:val="001C68D8"/>
    <w:rsid w:val="001E0EDF"/>
    <w:rsid w:val="0024570A"/>
    <w:rsid w:val="0024648C"/>
    <w:rsid w:val="00255662"/>
    <w:rsid w:val="00260814"/>
    <w:rsid w:val="00290539"/>
    <w:rsid w:val="002916C2"/>
    <w:rsid w:val="002953A7"/>
    <w:rsid w:val="00296D7F"/>
    <w:rsid w:val="002A1F6D"/>
    <w:rsid w:val="002B3A5E"/>
    <w:rsid w:val="002B70CE"/>
    <w:rsid w:val="002D5CF4"/>
    <w:rsid w:val="002F45F6"/>
    <w:rsid w:val="00303B39"/>
    <w:rsid w:val="00336FCA"/>
    <w:rsid w:val="00347671"/>
    <w:rsid w:val="00361132"/>
    <w:rsid w:val="00370376"/>
    <w:rsid w:val="00377871"/>
    <w:rsid w:val="003877E6"/>
    <w:rsid w:val="00390CDE"/>
    <w:rsid w:val="0039299C"/>
    <w:rsid w:val="003A1C95"/>
    <w:rsid w:val="003A79DE"/>
    <w:rsid w:val="003C0665"/>
    <w:rsid w:val="003D2824"/>
    <w:rsid w:val="003D33EA"/>
    <w:rsid w:val="003D4726"/>
    <w:rsid w:val="003F2EB3"/>
    <w:rsid w:val="00406628"/>
    <w:rsid w:val="0041418F"/>
    <w:rsid w:val="00422E0B"/>
    <w:rsid w:val="00424E47"/>
    <w:rsid w:val="00426243"/>
    <w:rsid w:val="004274D9"/>
    <w:rsid w:val="0043243F"/>
    <w:rsid w:val="00433154"/>
    <w:rsid w:val="00434655"/>
    <w:rsid w:val="00434760"/>
    <w:rsid w:val="00450814"/>
    <w:rsid w:val="0045389E"/>
    <w:rsid w:val="00456C71"/>
    <w:rsid w:val="00457ADD"/>
    <w:rsid w:val="004618C6"/>
    <w:rsid w:val="00461DB5"/>
    <w:rsid w:val="00462C2F"/>
    <w:rsid w:val="0046404A"/>
    <w:rsid w:val="00467077"/>
    <w:rsid w:val="00470734"/>
    <w:rsid w:val="00486429"/>
    <w:rsid w:val="0049255E"/>
    <w:rsid w:val="00494C25"/>
    <w:rsid w:val="00495023"/>
    <w:rsid w:val="00496F3C"/>
    <w:rsid w:val="00497EC4"/>
    <w:rsid w:val="004A1488"/>
    <w:rsid w:val="004B6C9A"/>
    <w:rsid w:val="004C1D5B"/>
    <w:rsid w:val="004D092F"/>
    <w:rsid w:val="004E2314"/>
    <w:rsid w:val="004E347C"/>
    <w:rsid w:val="004E63D7"/>
    <w:rsid w:val="004E6788"/>
    <w:rsid w:val="004F035D"/>
    <w:rsid w:val="004F190B"/>
    <w:rsid w:val="004F7CF0"/>
    <w:rsid w:val="00511C67"/>
    <w:rsid w:val="0051251A"/>
    <w:rsid w:val="00516997"/>
    <w:rsid w:val="00523242"/>
    <w:rsid w:val="00530EBD"/>
    <w:rsid w:val="00534091"/>
    <w:rsid w:val="005366C8"/>
    <w:rsid w:val="005629BD"/>
    <w:rsid w:val="00565BCA"/>
    <w:rsid w:val="00567E13"/>
    <w:rsid w:val="005850DB"/>
    <w:rsid w:val="00594C09"/>
    <w:rsid w:val="005A1B3C"/>
    <w:rsid w:val="005A587D"/>
    <w:rsid w:val="005B5ABB"/>
    <w:rsid w:val="005C641D"/>
    <w:rsid w:val="005D258F"/>
    <w:rsid w:val="005D5D56"/>
    <w:rsid w:val="005E65CC"/>
    <w:rsid w:val="005F0E7B"/>
    <w:rsid w:val="00602C33"/>
    <w:rsid w:val="006031DB"/>
    <w:rsid w:val="00607881"/>
    <w:rsid w:val="006121AE"/>
    <w:rsid w:val="006220C4"/>
    <w:rsid w:val="0062712C"/>
    <w:rsid w:val="00630BE1"/>
    <w:rsid w:val="00636BD2"/>
    <w:rsid w:val="00645785"/>
    <w:rsid w:val="0065638C"/>
    <w:rsid w:val="00656C70"/>
    <w:rsid w:val="00670BCE"/>
    <w:rsid w:val="006868E8"/>
    <w:rsid w:val="00687C40"/>
    <w:rsid w:val="006937B5"/>
    <w:rsid w:val="006D3757"/>
    <w:rsid w:val="006D3FE5"/>
    <w:rsid w:val="006D50B1"/>
    <w:rsid w:val="006E6FA2"/>
    <w:rsid w:val="006F3FB2"/>
    <w:rsid w:val="00703E9F"/>
    <w:rsid w:val="00710AB5"/>
    <w:rsid w:val="00717CFA"/>
    <w:rsid w:val="0072374C"/>
    <w:rsid w:val="00725796"/>
    <w:rsid w:val="00731BF7"/>
    <w:rsid w:val="00771D18"/>
    <w:rsid w:val="00783034"/>
    <w:rsid w:val="00786CB9"/>
    <w:rsid w:val="007A5D7E"/>
    <w:rsid w:val="007C087D"/>
    <w:rsid w:val="007C18E4"/>
    <w:rsid w:val="007C72AC"/>
    <w:rsid w:val="007D1D41"/>
    <w:rsid w:val="007D671E"/>
    <w:rsid w:val="007D72B0"/>
    <w:rsid w:val="007E443D"/>
    <w:rsid w:val="008147D2"/>
    <w:rsid w:val="00817FBF"/>
    <w:rsid w:val="00822C7C"/>
    <w:rsid w:val="0082634D"/>
    <w:rsid w:val="0083132C"/>
    <w:rsid w:val="00855075"/>
    <w:rsid w:val="00863A9F"/>
    <w:rsid w:val="00863D74"/>
    <w:rsid w:val="0087210A"/>
    <w:rsid w:val="00896F4A"/>
    <w:rsid w:val="008A3643"/>
    <w:rsid w:val="008C5DBE"/>
    <w:rsid w:val="008D2344"/>
    <w:rsid w:val="008D2DF0"/>
    <w:rsid w:val="008E2321"/>
    <w:rsid w:val="008E5363"/>
    <w:rsid w:val="008F036A"/>
    <w:rsid w:val="008F4518"/>
    <w:rsid w:val="009010D4"/>
    <w:rsid w:val="0090572C"/>
    <w:rsid w:val="00906056"/>
    <w:rsid w:val="00911CCD"/>
    <w:rsid w:val="0093268B"/>
    <w:rsid w:val="00936BCA"/>
    <w:rsid w:val="00944C4D"/>
    <w:rsid w:val="009469CC"/>
    <w:rsid w:val="00951D12"/>
    <w:rsid w:val="00953051"/>
    <w:rsid w:val="009555E6"/>
    <w:rsid w:val="009566B1"/>
    <w:rsid w:val="00957AC3"/>
    <w:rsid w:val="00964034"/>
    <w:rsid w:val="009660F1"/>
    <w:rsid w:val="0097732C"/>
    <w:rsid w:val="00981751"/>
    <w:rsid w:val="0099133B"/>
    <w:rsid w:val="009966E1"/>
    <w:rsid w:val="009B1744"/>
    <w:rsid w:val="009B1C4F"/>
    <w:rsid w:val="009B2EF3"/>
    <w:rsid w:val="009B6B74"/>
    <w:rsid w:val="009B6E57"/>
    <w:rsid w:val="009C47DB"/>
    <w:rsid w:val="009D117A"/>
    <w:rsid w:val="009E3D48"/>
    <w:rsid w:val="009E3D92"/>
    <w:rsid w:val="009F3A82"/>
    <w:rsid w:val="009F56EA"/>
    <w:rsid w:val="009F65B0"/>
    <w:rsid w:val="00A2110A"/>
    <w:rsid w:val="00A3626C"/>
    <w:rsid w:val="00A40D39"/>
    <w:rsid w:val="00A449D2"/>
    <w:rsid w:val="00A54158"/>
    <w:rsid w:val="00A55CD8"/>
    <w:rsid w:val="00A56057"/>
    <w:rsid w:val="00A630C9"/>
    <w:rsid w:val="00A63DFA"/>
    <w:rsid w:val="00A679C4"/>
    <w:rsid w:val="00A86BCF"/>
    <w:rsid w:val="00A9070B"/>
    <w:rsid w:val="00A92A1B"/>
    <w:rsid w:val="00A96292"/>
    <w:rsid w:val="00AA54FA"/>
    <w:rsid w:val="00AA7A86"/>
    <w:rsid w:val="00AB3E15"/>
    <w:rsid w:val="00AC0CB3"/>
    <w:rsid w:val="00AC2D22"/>
    <w:rsid w:val="00AC5286"/>
    <w:rsid w:val="00AD0525"/>
    <w:rsid w:val="00AD6F61"/>
    <w:rsid w:val="00AD7D77"/>
    <w:rsid w:val="00AE1271"/>
    <w:rsid w:val="00AE39D1"/>
    <w:rsid w:val="00AE6EEA"/>
    <w:rsid w:val="00AF0BDC"/>
    <w:rsid w:val="00B103B8"/>
    <w:rsid w:val="00B1491A"/>
    <w:rsid w:val="00B44ACB"/>
    <w:rsid w:val="00B46AA6"/>
    <w:rsid w:val="00B46AE1"/>
    <w:rsid w:val="00B52AA1"/>
    <w:rsid w:val="00B634E6"/>
    <w:rsid w:val="00B6551A"/>
    <w:rsid w:val="00B7081E"/>
    <w:rsid w:val="00B749C3"/>
    <w:rsid w:val="00B7567E"/>
    <w:rsid w:val="00BA5033"/>
    <w:rsid w:val="00BA62C3"/>
    <w:rsid w:val="00BB4AB5"/>
    <w:rsid w:val="00BE0862"/>
    <w:rsid w:val="00BE4FC2"/>
    <w:rsid w:val="00BE5EC7"/>
    <w:rsid w:val="00C056A1"/>
    <w:rsid w:val="00C11653"/>
    <w:rsid w:val="00C268DC"/>
    <w:rsid w:val="00C270B9"/>
    <w:rsid w:val="00C33758"/>
    <w:rsid w:val="00C35DCB"/>
    <w:rsid w:val="00C74DA6"/>
    <w:rsid w:val="00C77D62"/>
    <w:rsid w:val="00C87548"/>
    <w:rsid w:val="00C91F99"/>
    <w:rsid w:val="00C957DB"/>
    <w:rsid w:val="00CB111D"/>
    <w:rsid w:val="00CB4013"/>
    <w:rsid w:val="00CC1CCE"/>
    <w:rsid w:val="00CC2822"/>
    <w:rsid w:val="00CC3E41"/>
    <w:rsid w:val="00CC68AF"/>
    <w:rsid w:val="00CE1BA1"/>
    <w:rsid w:val="00CF43E4"/>
    <w:rsid w:val="00D04F93"/>
    <w:rsid w:val="00D12B05"/>
    <w:rsid w:val="00D1466E"/>
    <w:rsid w:val="00D23BC5"/>
    <w:rsid w:val="00D3268C"/>
    <w:rsid w:val="00D36AB3"/>
    <w:rsid w:val="00D537A1"/>
    <w:rsid w:val="00D56A69"/>
    <w:rsid w:val="00D6525B"/>
    <w:rsid w:val="00D664AB"/>
    <w:rsid w:val="00D73430"/>
    <w:rsid w:val="00D806B5"/>
    <w:rsid w:val="00D96D53"/>
    <w:rsid w:val="00DC7445"/>
    <w:rsid w:val="00DD78CB"/>
    <w:rsid w:val="00DE0755"/>
    <w:rsid w:val="00DE7A02"/>
    <w:rsid w:val="00DF753C"/>
    <w:rsid w:val="00E16D4F"/>
    <w:rsid w:val="00E31E84"/>
    <w:rsid w:val="00E373E9"/>
    <w:rsid w:val="00E44088"/>
    <w:rsid w:val="00E4528B"/>
    <w:rsid w:val="00E46BBD"/>
    <w:rsid w:val="00E53C31"/>
    <w:rsid w:val="00E548E8"/>
    <w:rsid w:val="00E552E1"/>
    <w:rsid w:val="00E84847"/>
    <w:rsid w:val="00EA4A04"/>
    <w:rsid w:val="00EB2563"/>
    <w:rsid w:val="00EB6F6C"/>
    <w:rsid w:val="00EC0E67"/>
    <w:rsid w:val="00EC3913"/>
    <w:rsid w:val="00EC53F3"/>
    <w:rsid w:val="00ED6961"/>
    <w:rsid w:val="00EF2894"/>
    <w:rsid w:val="00EF56B9"/>
    <w:rsid w:val="00F14F32"/>
    <w:rsid w:val="00F24D20"/>
    <w:rsid w:val="00F25804"/>
    <w:rsid w:val="00F27C8F"/>
    <w:rsid w:val="00F301B2"/>
    <w:rsid w:val="00F708E3"/>
    <w:rsid w:val="00F72AD1"/>
    <w:rsid w:val="00F73DAC"/>
    <w:rsid w:val="00F80AC6"/>
    <w:rsid w:val="00F854C7"/>
    <w:rsid w:val="00F93E6F"/>
    <w:rsid w:val="00FA770A"/>
    <w:rsid w:val="00FB1F15"/>
    <w:rsid w:val="00FB5088"/>
    <w:rsid w:val="00FD4F09"/>
    <w:rsid w:val="00FD7A0D"/>
    <w:rsid w:val="00FE589E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5"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rsid w:val="000676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761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7615"/>
    <w:pPr>
      <w:keepNext/>
      <w:ind w:left="3402"/>
      <w:jc w:val="both"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067615"/>
    <w:pPr>
      <w:keepNext/>
      <w:widowControl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7615"/>
    <w:pPr>
      <w:jc w:val="both"/>
    </w:pPr>
  </w:style>
  <w:style w:type="paragraph" w:styleId="Recuodecorpodetexto">
    <w:name w:val="Body Text Indent"/>
    <w:basedOn w:val="Normal"/>
    <w:rsid w:val="00067615"/>
    <w:pPr>
      <w:ind w:left="426" w:hanging="426"/>
      <w:jc w:val="both"/>
    </w:pPr>
  </w:style>
  <w:style w:type="paragraph" w:styleId="Cabealho">
    <w:name w:val="header"/>
    <w:basedOn w:val="Normal"/>
    <w:rsid w:val="00067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76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7615"/>
  </w:style>
  <w:style w:type="paragraph" w:customStyle="1" w:styleId="Default">
    <w:name w:val="Default"/>
    <w:rsid w:val="00067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067615"/>
    <w:pPr>
      <w:autoSpaceDE w:val="0"/>
      <w:autoSpaceDN w:val="0"/>
      <w:ind w:left="426" w:hanging="42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67615"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rsid w:val="00067615"/>
    <w:pPr>
      <w:jc w:val="both"/>
    </w:pPr>
    <w:rPr>
      <w:color w:val="000080"/>
      <w:sz w:val="24"/>
    </w:rPr>
  </w:style>
  <w:style w:type="paragraph" w:styleId="Subttulo">
    <w:name w:val="Subtitle"/>
    <w:basedOn w:val="Normal"/>
    <w:qFormat/>
    <w:rsid w:val="00067615"/>
    <w:pPr>
      <w:autoSpaceDE w:val="0"/>
      <w:autoSpaceDN w:val="0"/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67615"/>
    <w:pPr>
      <w:autoSpaceDE w:val="0"/>
      <w:autoSpaceDN w:val="0"/>
      <w:ind w:left="567" w:hanging="567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067615"/>
    <w:pPr>
      <w:widowControl/>
      <w:spacing w:before="100" w:after="100"/>
    </w:pPr>
    <w:rPr>
      <w:sz w:val="24"/>
    </w:rPr>
  </w:style>
  <w:style w:type="paragraph" w:styleId="Legenda">
    <w:name w:val="caption"/>
    <w:basedOn w:val="Normal"/>
    <w:next w:val="Normal"/>
    <w:qFormat/>
    <w:rsid w:val="00067615"/>
    <w:pPr>
      <w:widowControl/>
      <w:jc w:val="center"/>
    </w:pPr>
  </w:style>
  <w:style w:type="paragraph" w:styleId="Corpodetexto3">
    <w:name w:val="Body Text 3"/>
    <w:basedOn w:val="Normal"/>
    <w:rsid w:val="0006761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0676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B634E6"/>
    <w:rPr>
      <w:i/>
      <w:iCs/>
    </w:rPr>
  </w:style>
  <w:style w:type="character" w:customStyle="1" w:styleId="st">
    <w:name w:val="st"/>
    <w:basedOn w:val="Fontepargpadro"/>
    <w:rsid w:val="00B634E6"/>
  </w:style>
  <w:style w:type="character" w:styleId="nfase">
    <w:name w:val="Emphasis"/>
    <w:basedOn w:val="Fontepargpadro"/>
    <w:uiPriority w:val="20"/>
    <w:qFormat/>
    <w:rsid w:val="00B634E6"/>
    <w:rPr>
      <w:i/>
      <w:iCs/>
    </w:rPr>
  </w:style>
  <w:style w:type="paragraph" w:styleId="PargrafodaLista">
    <w:name w:val="List Paragraph"/>
    <w:basedOn w:val="Normal"/>
    <w:uiPriority w:val="34"/>
    <w:qFormat/>
    <w:rsid w:val="00B634E6"/>
    <w:pPr>
      <w:ind w:left="708"/>
    </w:pPr>
  </w:style>
  <w:style w:type="character" w:styleId="Forte">
    <w:name w:val="Strong"/>
    <w:basedOn w:val="Fontepargpadro"/>
    <w:uiPriority w:val="22"/>
    <w:qFormat/>
    <w:rsid w:val="004F190B"/>
    <w:rPr>
      <w:b/>
      <w:bCs/>
    </w:rPr>
  </w:style>
  <w:style w:type="character" w:customStyle="1" w:styleId="spelle">
    <w:name w:val="spelle"/>
    <w:basedOn w:val="Fontepargpadro"/>
    <w:rsid w:val="00516997"/>
  </w:style>
  <w:style w:type="table" w:styleId="Tabelacomgrade">
    <w:name w:val="Table Grid"/>
    <w:basedOn w:val="Tabelanormal"/>
    <w:uiPriority w:val="59"/>
    <w:rsid w:val="008C5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B59-8086-4652-BB0C-0669EB4B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711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01/2002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01/2002</dc:title>
  <dc:creator>Marco Antonio Bocchi</dc:creator>
  <cp:lastModifiedBy>user</cp:lastModifiedBy>
  <cp:revision>20</cp:revision>
  <cp:lastPrinted>2023-01-12T19:16:00Z</cp:lastPrinted>
  <dcterms:created xsi:type="dcterms:W3CDTF">2020-12-21T13:43:00Z</dcterms:created>
  <dcterms:modified xsi:type="dcterms:W3CDTF">2023-01-16T16:55:00Z</dcterms:modified>
</cp:coreProperties>
</file>