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D7" w:rsidRDefault="00533CD7">
      <w:pPr>
        <w:pStyle w:val="normal0"/>
        <w:spacing w:line="360" w:lineRule="auto"/>
        <w:jc w:val="center"/>
        <w:rPr>
          <w:b/>
          <w:sz w:val="24"/>
          <w:szCs w:val="24"/>
          <w:u w:val="single"/>
        </w:rPr>
      </w:pPr>
    </w:p>
    <w:p w:rsidR="00533CD7" w:rsidRDefault="00AB5ADE">
      <w:pPr>
        <w:pStyle w:val="normal0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COMUNICADO 05/2023</w:t>
      </w:r>
    </w:p>
    <w:p w:rsidR="00533CD7" w:rsidRDefault="00533CD7">
      <w:pPr>
        <w:pStyle w:val="normal0"/>
        <w:spacing w:line="360" w:lineRule="auto"/>
        <w:rPr>
          <w:b/>
          <w:sz w:val="24"/>
          <w:szCs w:val="24"/>
          <w:u w:val="single"/>
        </w:rPr>
      </w:pPr>
    </w:p>
    <w:p w:rsidR="00533CD7" w:rsidRDefault="00AB5ADE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CHAMAMENTO PÚBLICO Nº 001/2023  </w:t>
      </w:r>
    </w:p>
    <w:p w:rsidR="00533CD7" w:rsidRDefault="00AB5ADE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ATA DA COMISSÃO ESPECIAL DE AVALIAÇÃO - DELIBERAÇÃO DE REPASSES REALIZADA EM REUNIÃO COM CMAS – CONSELHO MUNICIPAL DE ASSISTENCIA SOCIAL – PARA ASSINATURA DE TERMO DE COLABORAÇÃO 2023. </w:t>
      </w: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AB5AD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</w:t>
      </w:r>
      <w:r>
        <w:rPr>
          <w:b/>
          <w:sz w:val="24"/>
          <w:szCs w:val="24"/>
        </w:rPr>
        <w:t>Portaria D.A. nº 35/2023</w:t>
      </w:r>
      <w:r>
        <w:rPr>
          <w:sz w:val="24"/>
          <w:szCs w:val="24"/>
        </w:rPr>
        <w:t xml:space="preserve"> , que altera a porta</w:t>
      </w:r>
      <w:r>
        <w:rPr>
          <w:sz w:val="24"/>
          <w:szCs w:val="24"/>
        </w:rPr>
        <w:t>ria D.A. 095/2020 e constitui a  Comissão Especial de Avaliação destinada a selecionar projetos de organizações de Assistência Social, por meio de chamamento publico, para efetivação das Políticas Públicas Municipais de Assistência Social, mediante convêni</w:t>
      </w:r>
      <w:r>
        <w:rPr>
          <w:sz w:val="24"/>
          <w:szCs w:val="24"/>
        </w:rPr>
        <w:t xml:space="preserve">o, em consonância com as diretrizes do Sistema Único de Assistência Social – SUAS e com o disposto na Lei Orgânica da Assistência Social – LOAS; </w:t>
      </w:r>
    </w:p>
    <w:p w:rsidR="00533CD7" w:rsidRDefault="00AB5AD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Edital de Chamamento Publico Nº 001/2023 para apresentação de propostas e seleção de planos de </w:t>
      </w:r>
      <w:r>
        <w:rPr>
          <w:sz w:val="24"/>
          <w:szCs w:val="24"/>
        </w:rPr>
        <w:t xml:space="preserve">trabalho para </w:t>
      </w:r>
      <w:r>
        <w:rPr>
          <w:b/>
          <w:sz w:val="24"/>
          <w:szCs w:val="24"/>
        </w:rPr>
        <w:t xml:space="preserve">PROTEÇÃO SOCIAL BÁSICA - BLOCO I - SERVIÇO DE CONVIVENCIA E FORTALECIMENTO DE VÍNCULOS – SCFV; BLOCO II - SERVIÇO DE PROTEÇÃO SOCIAL BÁSICA NO DOMICÍLIO PARA PESSOAS COM DEFICIÊNCIA E IDOSAS, </w:t>
      </w:r>
      <w:r>
        <w:rPr>
          <w:sz w:val="24"/>
          <w:szCs w:val="24"/>
        </w:rPr>
        <w:t>o Município de Itanhaém, por meio da Secretaria de</w:t>
      </w:r>
      <w:r>
        <w:rPr>
          <w:sz w:val="24"/>
          <w:szCs w:val="24"/>
        </w:rPr>
        <w:t xml:space="preserve"> Assistência e Desenvolvimento Social, após avaliação da C</w:t>
      </w:r>
      <w:r w:rsidR="008A4631">
        <w:rPr>
          <w:sz w:val="24"/>
          <w:szCs w:val="24"/>
        </w:rPr>
        <w:t>omissão Especial de Avaliação (</w:t>
      </w:r>
      <w:r>
        <w:rPr>
          <w:sz w:val="24"/>
          <w:szCs w:val="24"/>
        </w:rPr>
        <w:t xml:space="preserve">CEA) e aprovação do Conselho Municipal da Assistência Social, em reunião extraordinária </w:t>
      </w:r>
      <w:r w:rsidR="008A4631" w:rsidRPr="008A4631">
        <w:rPr>
          <w:color w:val="000000" w:themeColor="text1"/>
          <w:sz w:val="24"/>
          <w:szCs w:val="24"/>
        </w:rPr>
        <w:t>realizada no dia 28 de março de 2023</w:t>
      </w:r>
      <w:r w:rsidR="008A4631">
        <w:rPr>
          <w:color w:val="000000" w:themeColor="text1"/>
          <w:sz w:val="24"/>
          <w:szCs w:val="24"/>
        </w:rPr>
        <w:t xml:space="preserve">, registrada na </w:t>
      </w:r>
      <w:r w:rsidR="008A4631">
        <w:rPr>
          <w:sz w:val="24"/>
          <w:szCs w:val="24"/>
        </w:rPr>
        <w:t>ata Extraordinária nº2</w:t>
      </w:r>
      <w:r w:rsidRPr="008A4631">
        <w:rPr>
          <w:sz w:val="24"/>
          <w:szCs w:val="24"/>
        </w:rPr>
        <w:t>,</w:t>
      </w:r>
      <w:r>
        <w:rPr>
          <w:sz w:val="24"/>
          <w:szCs w:val="24"/>
        </w:rPr>
        <w:t xml:space="preserve"> convoca as Organizações da Sociedade Civil relacionadas no quadro </w:t>
      </w:r>
      <w:r>
        <w:rPr>
          <w:sz w:val="24"/>
          <w:szCs w:val="24"/>
        </w:rPr>
        <w:t>abaixo para assinatura</w:t>
      </w:r>
      <w:r>
        <w:rPr>
          <w:sz w:val="24"/>
          <w:szCs w:val="24"/>
        </w:rPr>
        <w:t xml:space="preserve"> do termo de colaboração que ocorrerá no dia 14 de abril de 2023 para execução do Serviço de Convivência e Fortalecimento de Vínculo e Serviço de Proteção Social Básica no Domicílio para pessoas com deficiência e idosas.</w:t>
      </w: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AB5AD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s Organizações selecionadas para a execução dos serviços serão as seguintes:</w:t>
      </w: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0"/>
        <w:gridCol w:w="3217"/>
      </w:tblGrid>
      <w:tr w:rsidR="00533CD7">
        <w:trPr>
          <w:cantSplit/>
          <w:trHeight w:val="414"/>
          <w:tblHeader/>
        </w:trPr>
        <w:tc>
          <w:tcPr>
            <w:tcW w:w="8897" w:type="dxa"/>
            <w:gridSpan w:val="2"/>
            <w:shd w:val="clear" w:color="auto" w:fill="8DB3E2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OSC´s COM PLANOS APROVADOS -  SERVIÇO DE CONVIVÊNCIA E FORTALECIMENTO DE VÍNCULOS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Organização da Sociedade Civil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 de Coletivos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Beija Flor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Comunitária, Esportiva, Cultural, Educacional e Assistencial Crescer e Viver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de Dança Itanhaém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dos Amigos e Moradores de Áreas Verdes de Itanhaém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dos Moradores do Parque Real e Adjacências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3CD7">
        <w:trPr>
          <w:cantSplit/>
          <w:trHeight w:val="70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</w:pPr>
            <w:r>
              <w:rPr>
                <w:sz w:val="22"/>
                <w:szCs w:val="22"/>
              </w:rPr>
              <w:t>Associação dos Moradores do Conj. Hab. Guarapiranga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33CD7">
        <w:trPr>
          <w:cantSplit/>
          <w:trHeight w:val="236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Nordestina e Nortista de Itanhaém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33CD7">
        <w:trPr>
          <w:cantSplit/>
          <w:trHeight w:val="270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União Caiçara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da Criança Lar dos Franciscanos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Orientação aos Deficientes de Itanhaém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Vida Loty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Believe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8897" w:type="dxa"/>
            <w:gridSpan w:val="2"/>
            <w:shd w:val="clear" w:color="auto" w:fill="8DB3E2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</w:t>
            </w:r>
            <w:r>
              <w:rPr>
                <w:b/>
                <w:sz w:val="22"/>
                <w:szCs w:val="22"/>
              </w:rPr>
              <w:t>´s COM PLANOS APROVADOS – SERVIÇO DE PROTEÇÃO SOCIAL BÁSICA NO DOMICÍLIO PARA PESSOAS COM DEFICIÊNCIA E IDOSAS</w:t>
            </w:r>
          </w:p>
        </w:tc>
      </w:tr>
      <w:tr w:rsidR="00533CD7">
        <w:trPr>
          <w:cantSplit/>
          <w:trHeight w:val="414"/>
          <w:tblHeader/>
        </w:trPr>
        <w:tc>
          <w:tcPr>
            <w:tcW w:w="5680" w:type="dxa"/>
          </w:tcPr>
          <w:p w:rsidR="00533CD7" w:rsidRDefault="00AB5ADE">
            <w:pPr>
              <w:pStyle w:val="normal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Centro de Orientação aos Deficientes de Itanhaém</w:t>
            </w:r>
          </w:p>
        </w:tc>
        <w:tc>
          <w:tcPr>
            <w:tcW w:w="3217" w:type="dxa"/>
          </w:tcPr>
          <w:p w:rsidR="00533CD7" w:rsidRDefault="00AB5ADE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AB5AD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Conforme o EDITAL DE CHAMAMENTO PÚBLICO Nº 001/2023, obrigatoriamente, as Organizações selecionadas deverão disponibilizar a equipe responsável pelo Serviço para encontros formativos e informativos sobre o Sistema Único da Assistência Social e o Serviço de</w:t>
      </w:r>
      <w:r>
        <w:rPr>
          <w:sz w:val="24"/>
          <w:szCs w:val="24"/>
        </w:rPr>
        <w:t xml:space="preserve"> Convivência e Fortalecimento de Vínculo oferecidos pela Secretaria de Assistência e Desenvolvimento Social. Esses encontros serão realizados após a assinatura do termo, mediante comunicado no site.</w:t>
      </w:r>
    </w:p>
    <w:p w:rsidR="00533CD7" w:rsidRDefault="00AB5ADE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Secretaria de Assistência e Desenvolvimento Social refo</w:t>
      </w:r>
      <w:r>
        <w:rPr>
          <w:sz w:val="24"/>
          <w:szCs w:val="24"/>
        </w:rPr>
        <w:t>rça que a execução dos serviços deverá seguir as normas e diretrizes estabelecidas  pela Tipificação Nacional dos Serviços Socioassistenciais, bem como as orientações técnicas fornecidas pela SADS.</w:t>
      </w: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533CD7">
      <w:pPr>
        <w:pStyle w:val="normal0"/>
        <w:spacing w:line="360" w:lineRule="auto"/>
        <w:jc w:val="both"/>
        <w:rPr>
          <w:sz w:val="24"/>
          <w:szCs w:val="24"/>
        </w:rPr>
      </w:pPr>
    </w:p>
    <w:p w:rsidR="00533CD7" w:rsidRDefault="00AB5ADE">
      <w:pPr>
        <w:pStyle w:val="normal0"/>
        <w:spacing w:line="360" w:lineRule="auto"/>
        <w:rPr>
          <w:sz w:val="24"/>
          <w:szCs w:val="24"/>
        </w:rPr>
        <w:sectPr w:rsidR="00533CD7">
          <w:headerReference w:type="default" r:id="rId6"/>
          <w:footerReference w:type="default" r:id="rId7"/>
          <w:pgSz w:w="11907" w:h="16840"/>
          <w:pgMar w:top="1418" w:right="680" w:bottom="284" w:left="1418" w:header="720" w:footer="720" w:gutter="0"/>
          <w:pgNumType w:start="1"/>
          <w:cols w:space="720"/>
        </w:sectPr>
      </w:pPr>
      <w:r>
        <w:rPr>
          <w:sz w:val="24"/>
          <w:szCs w:val="24"/>
        </w:rPr>
        <w:t>Prefeitura Municipal de Itanhaém</w:t>
      </w:r>
    </w:p>
    <w:p w:rsidR="00533CD7" w:rsidRDefault="00533CD7">
      <w:pPr>
        <w:pStyle w:val="normal0"/>
        <w:spacing w:line="360" w:lineRule="auto"/>
        <w:rPr>
          <w:b/>
          <w:sz w:val="24"/>
          <w:szCs w:val="24"/>
        </w:rPr>
      </w:pPr>
    </w:p>
    <w:sectPr w:rsidR="00533CD7" w:rsidSect="00533CD7">
      <w:headerReference w:type="default" r:id="rId8"/>
      <w:footerReference w:type="default" r:id="rId9"/>
      <w:pgSz w:w="11907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DE" w:rsidRDefault="00AB5ADE" w:rsidP="00533CD7">
      <w:r>
        <w:separator/>
      </w:r>
    </w:p>
  </w:endnote>
  <w:endnote w:type="continuationSeparator" w:id="1">
    <w:p w:rsidR="00AB5ADE" w:rsidRDefault="00AB5ADE" w:rsidP="0053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D7" w:rsidRDefault="00AB5A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  <w:sz w:val="26"/>
        <w:szCs w:val="26"/>
      </w:rPr>
      <w:tab/>
    </w:r>
  </w:p>
  <w:p w:rsidR="00533CD7" w:rsidRDefault="00533CD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D7" w:rsidRDefault="00AB5A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  <w:sz w:val="26"/>
        <w:szCs w:val="26"/>
      </w:rPr>
      <w:tab/>
    </w:r>
  </w:p>
  <w:p w:rsidR="00533CD7" w:rsidRDefault="00AB5A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DE" w:rsidRDefault="00AB5ADE" w:rsidP="00533CD7">
      <w:r>
        <w:separator/>
      </w:r>
    </w:p>
  </w:footnote>
  <w:footnote w:type="continuationSeparator" w:id="1">
    <w:p w:rsidR="00AB5ADE" w:rsidRDefault="00AB5ADE" w:rsidP="0053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D7" w:rsidRDefault="00AB5ADE">
    <w:pPr>
      <w:pStyle w:val="normal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74930</wp:posOffset>
          </wp:positionH>
          <wp:positionV relativeFrom="margin">
            <wp:posOffset>-680718</wp:posOffset>
          </wp:positionV>
          <wp:extent cx="914400" cy="660400"/>
          <wp:effectExtent l="0" t="0" r="0" b="0"/>
          <wp:wrapSquare wrapText="bothSides" distT="0" distB="0" distL="114300" distR="114300"/>
          <wp:docPr id="1" name="image1.png" descr="brasao-prefeitura-municipal-de-itanhaem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-prefeitura-municipal-de-itanhaem-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  <w:r>
      <w:rPr>
        <w:sz w:val="24"/>
        <w:szCs w:val="24"/>
      </w:rPr>
      <w:t>PREFEITURA DE ITANHAÉM</w:t>
    </w:r>
  </w:p>
  <w:p w:rsidR="00533CD7" w:rsidRDefault="00AB5ADE">
    <w:pPr>
      <w:pStyle w:val="normal0"/>
      <w:ind w:left="708"/>
      <w:jc w:val="center"/>
      <w:rPr>
        <w:sz w:val="24"/>
        <w:szCs w:val="24"/>
      </w:rPr>
    </w:pPr>
    <w:r>
      <w:rPr>
        <w:sz w:val="24"/>
        <w:szCs w:val="24"/>
      </w:rPr>
      <w:t>ESTÂNCIA BALNEÁRIA | ESTADO DE SÃO PAULO</w:t>
    </w:r>
  </w:p>
  <w:p w:rsidR="00533CD7" w:rsidRDefault="00AB5ADE">
    <w:pPr>
      <w:pStyle w:val="normal0"/>
      <w:ind w:left="708"/>
      <w:jc w:val="center"/>
      <w:rPr>
        <w:sz w:val="24"/>
        <w:szCs w:val="24"/>
      </w:rPr>
    </w:pPr>
    <w:r>
      <w:rPr>
        <w:sz w:val="24"/>
        <w:szCs w:val="24"/>
      </w:rPr>
      <w:t>SECRETARIA DE ASSISTÊNCIA E DESENVOLVIMENTO SOCIAL</w:t>
    </w:r>
  </w:p>
  <w:p w:rsidR="00533CD7" w:rsidRDefault="00533CD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D7" w:rsidRDefault="00AB5ADE">
    <w:pPr>
      <w:pStyle w:val="normal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-165733</wp:posOffset>
          </wp:positionH>
          <wp:positionV relativeFrom="margin">
            <wp:posOffset>-946783</wp:posOffset>
          </wp:positionV>
          <wp:extent cx="914400" cy="657225"/>
          <wp:effectExtent l="0" t="0" r="0" b="0"/>
          <wp:wrapSquare wrapText="bothSides" distT="0" distB="0" distL="114300" distR="114300"/>
          <wp:docPr id="2" name="image1.png" descr="brasao-prefeitura-municipal-de-itanhaem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-prefeitura-municipal-de-itanhaem-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</w:t>
    </w:r>
    <w:r>
      <w:rPr>
        <w:sz w:val="24"/>
        <w:szCs w:val="24"/>
      </w:rPr>
      <w:t>PREFEITURA DE ITANHAÉM</w:t>
    </w:r>
  </w:p>
  <w:p w:rsidR="00533CD7" w:rsidRDefault="00AB5ADE">
    <w:pPr>
      <w:pStyle w:val="normal0"/>
      <w:ind w:left="708"/>
      <w:jc w:val="center"/>
      <w:rPr>
        <w:sz w:val="24"/>
        <w:szCs w:val="24"/>
      </w:rPr>
    </w:pPr>
    <w:r>
      <w:rPr>
        <w:sz w:val="24"/>
        <w:szCs w:val="24"/>
      </w:rPr>
      <w:t>ESTÂNCIA BALNEÁRIA | ESTADO DE SÃO PAULO</w:t>
    </w:r>
  </w:p>
  <w:p w:rsidR="00533CD7" w:rsidRDefault="00AB5ADE">
    <w:pPr>
      <w:pStyle w:val="normal0"/>
      <w:ind w:left="708"/>
      <w:jc w:val="center"/>
      <w:rPr>
        <w:sz w:val="24"/>
        <w:szCs w:val="24"/>
      </w:rPr>
    </w:pPr>
    <w:r>
      <w:rPr>
        <w:sz w:val="24"/>
        <w:szCs w:val="24"/>
      </w:rPr>
      <w:t>SECRETARIA DE ASSISTÊNCIA E DESENVOLVIMENTO SOCIAL</w:t>
    </w:r>
  </w:p>
  <w:p w:rsidR="00533CD7" w:rsidRDefault="00533CD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CD7"/>
    <w:rsid w:val="00214638"/>
    <w:rsid w:val="00533CD7"/>
    <w:rsid w:val="008A4631"/>
    <w:rsid w:val="00A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33CD7"/>
    <w:pPr>
      <w:keepNext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533CD7"/>
    <w:pPr>
      <w:keepNext/>
      <w:jc w:val="both"/>
      <w:outlineLvl w:val="1"/>
    </w:pPr>
    <w:rPr>
      <w:b/>
    </w:rPr>
  </w:style>
  <w:style w:type="paragraph" w:styleId="Ttulo3">
    <w:name w:val="heading 3"/>
    <w:basedOn w:val="normal0"/>
    <w:next w:val="normal0"/>
    <w:rsid w:val="00533CD7"/>
    <w:pPr>
      <w:keepNext/>
      <w:ind w:left="3402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533C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33C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33C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3CD7"/>
  </w:style>
  <w:style w:type="table" w:customStyle="1" w:styleId="TableNormal">
    <w:name w:val="Table Normal"/>
    <w:rsid w:val="00533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3CD7"/>
    <w:pPr>
      <w:jc w:val="center"/>
    </w:pPr>
    <w:rPr>
      <w:b/>
      <w:u w:val="single"/>
    </w:rPr>
  </w:style>
  <w:style w:type="paragraph" w:styleId="Subttulo">
    <w:name w:val="Subtitle"/>
    <w:basedOn w:val="normal0"/>
    <w:next w:val="normal0"/>
    <w:rsid w:val="00533CD7"/>
    <w:pPr>
      <w:jc w:val="center"/>
    </w:pPr>
    <w:rPr>
      <w:rFonts w:ascii="Arial" w:eastAsia="Arial" w:hAnsi="Arial" w:cs="Arial"/>
      <w:b/>
      <w:sz w:val="24"/>
      <w:szCs w:val="24"/>
    </w:rPr>
  </w:style>
  <w:style w:type="table" w:customStyle="1" w:styleId="a">
    <w:basedOn w:val="TableNormal"/>
    <w:rsid w:val="00533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SGORLON</dc:creator>
  <cp:lastModifiedBy>user</cp:lastModifiedBy>
  <cp:revision>2</cp:revision>
  <dcterms:created xsi:type="dcterms:W3CDTF">2023-03-28T12:06:00Z</dcterms:created>
  <dcterms:modified xsi:type="dcterms:W3CDTF">2023-03-28T12:06:00Z</dcterms:modified>
</cp:coreProperties>
</file>